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B21CDC"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B21CDC"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B21CDC">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B21CDC">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B21CDC">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B21CDC">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B21CDC">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B21CDC">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B21CDC">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B21CDC">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B21CDC">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B21CDC">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B21CDC">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B21CDC">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B21CDC">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B21CDC">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B21CDC">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B21CDC">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B21CDC">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B21CDC">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B21CDC">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B21CDC">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B21CDC">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B21CDC">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B21CDC">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29C88E"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0A37783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2B5DEE14"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3</w:t>
      </w:r>
      <w:r w:rsidR="006A233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AC568EA"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4</w:t>
      </w:r>
      <w:r w:rsidR="006A233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987F82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A1E1589"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6</w:t>
      </w:r>
      <w:r w:rsidR="006A233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911B1C8"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7</w:t>
      </w:r>
      <w:r w:rsidR="006A233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09475AC"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8</w:t>
      </w:r>
      <w:r w:rsidR="006A233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0142DCD4"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9</w:t>
      </w:r>
      <w:r w:rsidR="006A233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7D6C3E7C"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10</w:t>
      </w:r>
      <w:r w:rsidR="006A233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65B60A9D"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11</w:t>
      </w:r>
      <w:r w:rsidR="006A233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36A6D8F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12</w:t>
      </w:r>
      <w:r w:rsidR="006A233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3AD6058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13</w:t>
      </w:r>
      <w:r w:rsidR="006A233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EC9C001"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14</w:t>
      </w:r>
      <w:r w:rsidR="006A233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9C4921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15</w:t>
      </w:r>
      <w:r w:rsidR="006A233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9FA5A1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16</w:t>
      </w:r>
      <w:r w:rsidR="006A233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5ADAB17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0DBCDA27"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122B33D5"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3</w:t>
      </w:r>
      <w:r w:rsidR="006A233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5A1AEAE"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4</w:t>
      </w:r>
      <w:r w:rsidR="006A233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686E1765"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7B58C56C"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6</w:t>
      </w:r>
      <w:r w:rsidR="006A233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06F3283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7</w:t>
      </w:r>
      <w:r w:rsidR="006A233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ED6E49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8</w:t>
      </w:r>
      <w:r w:rsidR="006A233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AB3A2E7"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9</w:t>
      </w:r>
      <w:r w:rsidR="006A233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033F50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10</w:t>
      </w:r>
      <w:r w:rsidR="006A233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5BA9853"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11</w:t>
      </w:r>
      <w:r w:rsidR="006A233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5C3FE771"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12</w:t>
      </w:r>
      <w:r w:rsidR="006A233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03E36573"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13</w:t>
      </w:r>
      <w:r w:rsidR="006A233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6A90E252"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14</w:t>
      </w:r>
      <w:r w:rsidR="006A233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65ABC183"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15</w:t>
      </w:r>
      <w:r w:rsidR="006A233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60EE4B12"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16</w:t>
      </w:r>
      <w:r w:rsidR="006A233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8182B9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17</w:t>
      </w:r>
      <w:r w:rsidR="006A233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2D996A8A"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18</w:t>
      </w:r>
      <w:r w:rsidR="006A233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10E6BE8A"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19</w:t>
      </w:r>
      <w:r w:rsidR="006A233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383D86BF"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20</w:t>
      </w:r>
      <w:r w:rsidR="006A233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78A23844"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21</w:t>
      </w:r>
      <w:r w:rsidR="006A233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7A601C6C"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22</w:t>
      </w:r>
      <w:r w:rsidR="006A233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2998B867"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23</w:t>
      </w:r>
      <w:r w:rsidR="006A233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5F6CD749"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Pr="006A233A">
        <w:rPr>
          <w:color w:val="auto"/>
          <w:sz w:val="24"/>
          <w:szCs w:val="24"/>
        </w:rPr>
        <w:fldChar w:fldCharType="begin"/>
      </w:r>
      <w:r w:rsidRPr="006A233A">
        <w:rPr>
          <w:color w:val="auto"/>
          <w:sz w:val="24"/>
          <w:szCs w:val="24"/>
        </w:rPr>
        <w:instrText xml:space="preserve"> STYLEREF 1 \s </w:instrText>
      </w:r>
      <w:r w:rsidRPr="006A233A">
        <w:rPr>
          <w:color w:val="auto"/>
          <w:sz w:val="24"/>
          <w:szCs w:val="24"/>
        </w:rPr>
        <w:fldChar w:fldCharType="separate"/>
      </w:r>
      <w:r w:rsidRPr="006A233A">
        <w:rPr>
          <w:noProof/>
          <w:color w:val="auto"/>
          <w:sz w:val="24"/>
          <w:szCs w:val="24"/>
        </w:rPr>
        <w:t>2</w:t>
      </w:r>
      <w:r w:rsidRPr="006A233A">
        <w:rPr>
          <w:color w:val="auto"/>
          <w:sz w:val="24"/>
          <w:szCs w:val="24"/>
        </w:rPr>
        <w:fldChar w:fldCharType="end"/>
      </w:r>
      <w:r w:rsidRPr="006A233A">
        <w:rPr>
          <w:color w:val="auto"/>
          <w:sz w:val="24"/>
          <w:szCs w:val="24"/>
        </w:rPr>
        <w:noBreakHyphen/>
      </w:r>
      <w:r w:rsidRPr="006A233A">
        <w:rPr>
          <w:color w:val="auto"/>
          <w:sz w:val="24"/>
          <w:szCs w:val="24"/>
        </w:rPr>
        <w:fldChar w:fldCharType="begin"/>
      </w:r>
      <w:r w:rsidRPr="006A233A">
        <w:rPr>
          <w:color w:val="auto"/>
          <w:sz w:val="24"/>
          <w:szCs w:val="24"/>
        </w:rPr>
        <w:instrText xml:space="preserve"> SEQ Figura \* ARABIC \s 1 </w:instrText>
      </w:r>
      <w:r w:rsidRPr="006A233A">
        <w:rPr>
          <w:color w:val="auto"/>
          <w:sz w:val="24"/>
          <w:szCs w:val="24"/>
        </w:rPr>
        <w:fldChar w:fldCharType="separate"/>
      </w:r>
      <w:r w:rsidRPr="006A233A">
        <w:rPr>
          <w:noProof/>
          <w:color w:val="auto"/>
          <w:sz w:val="24"/>
          <w:szCs w:val="24"/>
        </w:rPr>
        <w:t>24</w:t>
      </w:r>
      <w:r w:rsidRPr="006A233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10BAC732" w:rsidR="002F1BB5" w:rsidRDefault="002F1BB5" w:rsidP="002F1BB5">
      <w:r>
        <w:t xml:space="preserve">Un PDP especifica como </w:t>
      </w:r>
      <w:r w:rsidR="00B21CDC">
        <w:t xml:space="preserve">los participantes se </w:t>
      </w:r>
      <w:r w:rsidR="00402CE3">
        <w:t>descubr</w:t>
      </w:r>
      <w:r w:rsidR="00B21CDC">
        <w:t>en entre sí</w:t>
      </w:r>
      <w:r w:rsidR="00402CE3">
        <w:t xml:space="preserve"> en la red. Una vez que dos </w:t>
      </w:r>
      <w:r w:rsidR="00402CE3">
        <w:rPr>
          <w:i/>
        </w:rPr>
        <w:t xml:space="preserve">participantes </w:t>
      </w:r>
      <w:r w:rsidR="00402CE3">
        <w:t xml:space="preserve">se han descubierto, intercambian información </w:t>
      </w:r>
      <w:r w:rsidR="00B21CDC">
        <w:t>sobre los</w:t>
      </w:r>
      <w:r w:rsidR="00402CE3">
        <w:t xml:space="preserve"> </w:t>
      </w:r>
      <w:r w:rsidR="00402CE3">
        <w:rPr>
          <w:i/>
        </w:rPr>
        <w:t xml:space="preserve">endpoint </w:t>
      </w:r>
      <w:r w:rsidR="00B21CDC">
        <w:t>que los contienen utilizando un EDP. Aparte de esta relación de causalidad, ambos protocolos se pueden considerar independientes.</w:t>
      </w:r>
    </w:p>
    <w:p w14:paraId="375D48B3" w14:textId="59749306" w:rsidR="00B21CDC" w:rsidRDefault="00B21CDC" w:rsidP="002F1BB5">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0699E861" w14:textId="7A13FEE9" w:rsidR="00B21CDC" w:rsidRDefault="00B21CDC" w:rsidP="00B21CDC">
      <w:pPr>
        <w:pStyle w:val="Prrafodelista"/>
        <w:numPr>
          <w:ilvl w:val="0"/>
          <w:numId w:val="52"/>
        </w:numPr>
      </w:pPr>
      <w:r>
        <w:t>Simple Participant Discovery Protocol (SPDP)</w:t>
      </w:r>
    </w:p>
    <w:p w14:paraId="02BFE76E" w14:textId="332E4D2C" w:rsidR="00B21CDC" w:rsidRDefault="00B21CDC" w:rsidP="00B21CDC">
      <w:pPr>
        <w:pStyle w:val="Prrafodelista"/>
        <w:numPr>
          <w:ilvl w:val="0"/>
          <w:numId w:val="52"/>
        </w:numPr>
      </w:pPr>
      <w:r>
        <w:t>Simple Endpoint Discovery Protocol (SEDP)</w:t>
      </w:r>
    </w:p>
    <w:p w14:paraId="6C271A71" w14:textId="55EE79C1" w:rsidR="00B21CDC" w:rsidRDefault="00D14CEC" w:rsidP="00B21CDC">
      <w:r>
        <w:t>Ambos son protocolos básicos de descubrimiento que bastan para pequeñas redes de mediana escala. Los PDP adicionales y EDP que están orientados hacia las redes más grandes se pueden añadir a las futuras versiones de la especificación.</w:t>
      </w:r>
    </w:p>
    <w:p w14:paraId="0334384B" w14:textId="77777777" w:rsidR="00EF29FE" w:rsidRDefault="00D14CEC" w:rsidP="00B21CDC">
      <w:r>
        <w:lastRenderedPageBreak/>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w:t>
      </w:r>
      <w:r w:rsidR="00EF29FE">
        <w:t xml:space="preserve">Por ejemplo, para anteriores implementaciones, la información obtenida en el </w:t>
      </w:r>
      <w:r w:rsidR="00EF29FE">
        <w:rPr>
          <w:i/>
        </w:rPr>
        <w:t xml:space="preserve">endpoint </w:t>
      </w:r>
      <w:r w:rsidR="00EF29FE">
        <w:t>remoto permite a las implementaciones configurar:</w:t>
      </w:r>
    </w:p>
    <w:p w14:paraId="4EFCDE71" w14:textId="0E982FE5" w:rsidR="00D14CEC" w:rsidRDefault="00EF29FE" w:rsidP="00A74676">
      <w:pPr>
        <w:pStyle w:val="Prrafodelista"/>
        <w:numPr>
          <w:ilvl w:val="0"/>
          <w:numId w:val="53"/>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48C8057B" w14:textId="0C51A14A" w:rsidR="00B65E47" w:rsidRPr="00B65E47" w:rsidRDefault="00B65E47"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6F2D1D9C" w14:textId="2F52F4DF" w:rsidR="00A74676" w:rsidRDefault="00A74676"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C88DED0" w14:textId="77777777" w:rsidR="00A74676" w:rsidRDefault="00A74676" w:rsidP="00A7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76C850D6" w14:textId="6FA194D6" w:rsidR="00A74676" w:rsidRDefault="00A74676" w:rsidP="00A74676">
      <w:pPr>
        <w:pStyle w:val="Ttulo4"/>
        <w:rPr>
          <w:lang w:val="es-US" w:eastAsia="es-US"/>
        </w:rPr>
      </w:pPr>
      <w:r>
        <w:rPr>
          <w:lang w:val="es-US" w:eastAsia="es-US"/>
        </w:rPr>
        <w:t>RTPS Built-in Discovery Endpoint</w:t>
      </w:r>
    </w:p>
    <w:p w14:paraId="7F722141" w14:textId="0E53B2E0" w:rsidR="00EF29FE" w:rsidRDefault="00480CE9" w:rsidP="00480CE9">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43A22883" w14:textId="77777777" w:rsidR="00480CE9" w:rsidRDefault="00480CE9" w:rsidP="00480CE9">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r>
        <w:rPr>
          <w:lang w:val="es-US" w:eastAsia="es-US"/>
        </w:rPr>
        <w:t>son también especificadas por la especificación del DDS y principalmente contiene valores de la entidad QoS.</w:t>
      </w:r>
    </w:p>
    <w:p w14:paraId="3C01EDBA" w14:textId="3EF8FFC2" w:rsidR="00480CE9" w:rsidRPr="00480CE9" w:rsidRDefault="00480CE9" w:rsidP="00480CE9">
      <w:bookmarkStart w:id="105" w:name="_GoBack"/>
      <w:bookmarkEnd w:id="105"/>
      <w:r>
        <w:rPr>
          <w:i/>
          <w:lang w:val="es-US" w:eastAsia="es-US"/>
        </w:rPr>
        <w:t xml:space="preserve"> </w:t>
      </w:r>
      <w:r w:rsidRPr="00480CE9">
        <w:rPr>
          <w:i/>
          <w:lang w:val="es-US" w:eastAsia="es-US"/>
        </w:rPr>
        <w:t xml:space="preserve"> </w:t>
      </w:r>
    </w:p>
    <w:p w14:paraId="6381FA3B" w14:textId="77777777" w:rsidR="002F1BB5" w:rsidRPr="00B2152D" w:rsidRDefault="002F1BB5" w:rsidP="002F1BB5"/>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6" w:name="_Toc416702564"/>
      <w:r w:rsidRPr="00414A6D">
        <w:rPr>
          <w:rFonts w:cs="Times New Roman"/>
          <w:lang w:val="es-ES_tradnl"/>
        </w:rPr>
        <w:t>CAPÍTULO VI</w:t>
      </w:r>
      <w:bookmarkEnd w:id="10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7" w:name="_Toc416702565"/>
      <w:r w:rsidRPr="00414A6D">
        <w:rPr>
          <w:rFonts w:cs="Times New Roman"/>
          <w:lang w:val="es-ES_tradnl"/>
        </w:rPr>
        <w:t>CONCLUSIONES Y RECOMENDACIONES</w:t>
      </w:r>
      <w:bookmarkEnd w:id="10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8" w:name="_Toc416702566"/>
      <w:r w:rsidRPr="00414A6D">
        <w:rPr>
          <w:rFonts w:cs="Times New Roman"/>
          <w:lang w:val="es-ES_tradnl"/>
        </w:rPr>
        <w:t>Conclusiones</w:t>
      </w:r>
      <w:bookmarkEnd w:id="10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9" w:name="_Toc416702567"/>
      <w:r w:rsidRPr="00414A6D">
        <w:rPr>
          <w:rFonts w:cs="Times New Roman"/>
          <w:lang w:val="es-ES_tradnl"/>
        </w:rPr>
        <w:t>Recomendaciones</w:t>
      </w:r>
      <w:bookmarkEnd w:id="10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0" w:name="_Toc379728322" w:displacedByCustomXml="next"/>
    <w:sdt>
      <w:sdtPr>
        <w:rPr>
          <w:lang w:val="es-ES_tradnl"/>
        </w:rPr>
        <w:id w:val="62297111"/>
        <w:docPartObj>
          <w:docPartGallery w:val="Bibliographies"/>
          <w:docPartUnique/>
        </w:docPartObj>
      </w:sdtPr>
      <w:sdtContent>
        <w:bookmarkEnd w:id="11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1" w:name="_Toc416702568"/>
      <w:r w:rsidRPr="00414A6D">
        <w:rPr>
          <w:rFonts w:cs="Times New Roman"/>
          <w:sz w:val="22"/>
          <w:szCs w:val="22"/>
          <w:lang w:val="es-ES_tradnl"/>
        </w:rPr>
        <w:t>ANEXOS</w:t>
      </w:r>
      <w:bookmarkEnd w:id="111"/>
    </w:p>
    <w:p w14:paraId="30A5625A" w14:textId="77777777" w:rsidR="00085B07" w:rsidRPr="00414A6D" w:rsidRDefault="00085B07" w:rsidP="00085B07">
      <w:pPr>
        <w:pStyle w:val="Ttulo2"/>
        <w:rPr>
          <w:rFonts w:cs="Times New Roman"/>
          <w:sz w:val="22"/>
          <w:szCs w:val="22"/>
          <w:lang w:val="es-ES_tradnl"/>
        </w:rPr>
      </w:pPr>
      <w:bookmarkStart w:id="112" w:name="_Toc416702569"/>
      <w:r w:rsidRPr="00414A6D">
        <w:rPr>
          <w:rFonts w:cs="Times New Roman"/>
          <w:sz w:val="22"/>
          <w:szCs w:val="22"/>
          <w:lang w:val="es-ES_tradnl"/>
        </w:rPr>
        <w:t>ANEXO 1: PIB</w:t>
      </w:r>
      <w:bookmarkEnd w:id="11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3" w:name="_Toc416702570"/>
      <w:r w:rsidRPr="00414A6D">
        <w:rPr>
          <w:rFonts w:cs="Times New Roman"/>
          <w:sz w:val="22"/>
          <w:szCs w:val="22"/>
          <w:lang w:val="es-ES_tradnl"/>
        </w:rPr>
        <w:t>ANEXO 2: Proyecto Maquila a Terceros 2014</w:t>
      </w:r>
      <w:bookmarkEnd w:id="11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4" w:name="_Toc416702571"/>
      <w:r w:rsidRPr="00414A6D">
        <w:rPr>
          <w:rFonts w:cs="Times New Roman"/>
          <w:sz w:val="22"/>
          <w:szCs w:val="22"/>
          <w:lang w:val="es-ES_tradnl"/>
        </w:rPr>
        <w:t>ANEXO 3: Mercado de Pastas Dentales (Banco Central del Ecuador)</w:t>
      </w:r>
      <w:bookmarkEnd w:id="11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5" w:name="_Toc416702572"/>
      <w:r w:rsidRPr="003768AE">
        <w:rPr>
          <w:rFonts w:cs="Times New Roman"/>
          <w:color w:val="404040" w:themeColor="text1" w:themeTint="BF"/>
          <w:sz w:val="22"/>
          <w:szCs w:val="22"/>
          <w:lang w:val="es-ES_tradnl"/>
        </w:rPr>
        <w:t>ANEXO 4: Análisis de la capacidad de producción versus los proyectos vigentes</w:t>
      </w:r>
      <w:bookmarkEnd w:id="11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6" w:name="_Toc416702573"/>
      <w:r w:rsidRPr="003768AE">
        <w:rPr>
          <w:rFonts w:cs="Times New Roman"/>
          <w:color w:val="404040" w:themeColor="text1" w:themeTint="BF"/>
          <w:sz w:val="22"/>
          <w:szCs w:val="22"/>
          <w:lang w:val="es-ES_tradnl"/>
        </w:rPr>
        <w:t>ANEXO 4: Mercado Nacional Pastas Dentales Actual</w:t>
      </w:r>
      <w:bookmarkEnd w:id="11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7" w:name="_Toc416702574"/>
      <w:r w:rsidRPr="003768AE">
        <w:rPr>
          <w:rFonts w:cs="Times New Roman"/>
          <w:color w:val="404040" w:themeColor="text1" w:themeTint="BF"/>
          <w:sz w:val="22"/>
          <w:szCs w:val="22"/>
          <w:lang w:val="es-ES_tradnl"/>
        </w:rPr>
        <w:t>ANEXO 6: Análisis Proyecto Maquila de Pastas Dentales</w:t>
      </w:r>
      <w:bookmarkEnd w:id="11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8" w:name="_Toc416702575"/>
      <w:r w:rsidRPr="003768AE">
        <w:rPr>
          <w:rFonts w:cs="Times New Roman"/>
          <w:color w:val="404040" w:themeColor="text1" w:themeTint="BF"/>
          <w:sz w:val="22"/>
          <w:szCs w:val="22"/>
          <w:lang w:val="es-ES_tradnl"/>
        </w:rPr>
        <w:t>ANEXO 7: Estados Financieros 2012</w:t>
      </w:r>
      <w:bookmarkEnd w:id="11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9" w:name="RANGE!A1:AR109"/>
            <w:r w:rsidRPr="003768AE">
              <w:rPr>
                <w:rFonts w:eastAsia="Times New Roman" w:cs="Times New Roman"/>
                <w:b/>
                <w:bCs/>
                <w:color w:val="404040" w:themeColor="text1" w:themeTint="BF"/>
                <w:kern w:val="0"/>
                <w:sz w:val="22"/>
                <w:szCs w:val="22"/>
                <w:lang w:val="es-ES_tradnl" w:eastAsia="es-EC"/>
              </w:rPr>
              <w:t>BLENASTOR C.A.</w:t>
            </w:r>
            <w:bookmarkEnd w:id="11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5"/>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8A0BF" w14:textId="77777777" w:rsidR="00C80081" w:rsidRDefault="00C80081">
      <w:pPr>
        <w:spacing w:line="240" w:lineRule="auto"/>
      </w:pPr>
      <w:r>
        <w:separator/>
      </w:r>
    </w:p>
  </w:endnote>
  <w:endnote w:type="continuationSeparator" w:id="0">
    <w:p w14:paraId="590E3075" w14:textId="77777777" w:rsidR="00C80081" w:rsidRDefault="00C800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B21CDC" w:rsidRDefault="00B21CDC"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FA5EFE" w14:textId="77777777" w:rsidR="00C80081" w:rsidRDefault="00C80081">
      <w:pPr>
        <w:spacing w:line="240" w:lineRule="auto"/>
      </w:pPr>
      <w:r>
        <w:separator/>
      </w:r>
    </w:p>
  </w:footnote>
  <w:footnote w:type="continuationSeparator" w:id="0">
    <w:p w14:paraId="6272FEB1" w14:textId="77777777" w:rsidR="00C80081" w:rsidRDefault="00C80081">
      <w:pPr>
        <w:spacing w:line="240" w:lineRule="auto"/>
      </w:pPr>
      <w:r>
        <w:continuationSeparator/>
      </w:r>
    </w:p>
  </w:footnote>
  <w:footnote w:id="1">
    <w:p w14:paraId="49A3A893" w14:textId="2E619971" w:rsidR="00B21CDC" w:rsidRPr="004D62EC" w:rsidRDefault="00B21CDC">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B21CDC" w:rsidRPr="004D62EC" w:rsidRDefault="00B21CDC">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B21CDC" w:rsidRPr="004F0FFE" w:rsidRDefault="00B21CDC">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B21CDC" w:rsidRPr="004F0FFE" w:rsidRDefault="00B21CDC">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B21CDC" w:rsidRPr="004F0FFE" w:rsidRDefault="00B21CDC">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B21CDC" w:rsidRPr="00EE5AF8" w:rsidRDefault="00B21CDC">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B21CDC" w:rsidRPr="004D62EC" w:rsidRDefault="00B21CDC">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B21CDC" w:rsidRPr="00E0576C" w:rsidRDefault="00B21CDC">
      <w:pPr>
        <w:pStyle w:val="Textonotapie"/>
      </w:pPr>
      <w:r>
        <w:rPr>
          <w:rStyle w:val="Refdenotaalpie"/>
        </w:rPr>
        <w:footnoteRef/>
      </w:r>
      <w:r>
        <w:t xml:space="preserve"> RT-CORBA, CORBA de tiempo real</w:t>
      </w:r>
    </w:p>
  </w:footnote>
  <w:footnote w:id="9">
    <w:p w14:paraId="61ABCC10" w14:textId="55FF56B3" w:rsidR="00B21CDC" w:rsidRPr="004D62EC" w:rsidRDefault="00B21CDC"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B21CDC" w:rsidRPr="00EE5AF8" w:rsidRDefault="00B21CDC">
      <w:pPr>
        <w:pStyle w:val="Textonotapie"/>
      </w:pPr>
      <w:r>
        <w:rPr>
          <w:rStyle w:val="Refdenotaalpie"/>
        </w:rPr>
        <w:footnoteRef/>
      </w:r>
      <w:r w:rsidRPr="00EE5AF8">
        <w:t xml:space="preserve"> OMG, Object Management Group.</w:t>
      </w:r>
    </w:p>
  </w:footnote>
  <w:footnote w:id="11">
    <w:p w14:paraId="3D8BBD61" w14:textId="0D731A1E" w:rsidR="00B21CDC" w:rsidRPr="00EE5AF8" w:rsidRDefault="00B21CDC">
      <w:pPr>
        <w:pStyle w:val="Textonotapie"/>
      </w:pPr>
      <w:r>
        <w:rPr>
          <w:rStyle w:val="Refdenotaalpie"/>
        </w:rPr>
        <w:footnoteRef/>
      </w:r>
      <w:r w:rsidRPr="00EE5AF8">
        <w:t xml:space="preserve"> IDL, Lenguaje de definición de interfaces.</w:t>
      </w:r>
    </w:p>
  </w:footnote>
  <w:footnote w:id="12">
    <w:p w14:paraId="177A5E83" w14:textId="0B9A6B4B" w:rsidR="00B21CDC" w:rsidRPr="00EE5AF8" w:rsidRDefault="00B21CDC">
      <w:pPr>
        <w:pStyle w:val="Textonotapie"/>
      </w:pPr>
      <w:r>
        <w:rPr>
          <w:rStyle w:val="Refdenotaalpie"/>
        </w:rPr>
        <w:footnoteRef/>
      </w:r>
      <w:r w:rsidRPr="00EE5AF8">
        <w:t xml:space="preserve"> OSI, Open System Interconnection</w:t>
      </w:r>
    </w:p>
  </w:footnote>
  <w:footnote w:id="13">
    <w:p w14:paraId="369AA74B" w14:textId="3E557AFC" w:rsidR="00B21CDC" w:rsidRPr="007F0B96" w:rsidRDefault="00B21CDC">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B21CDC" w:rsidRPr="008203B2" w:rsidRDefault="00B21CDC">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B21CDC" w:rsidRPr="00EE5AF8" w:rsidRDefault="00B21CDC">
      <w:pPr>
        <w:pStyle w:val="Textonotapie"/>
        <w:rPr>
          <w:lang w:val="es-ES"/>
        </w:rPr>
      </w:pPr>
      <w:r>
        <w:rPr>
          <w:rStyle w:val="Refdenotaalpie"/>
        </w:rPr>
        <w:footnoteRef/>
      </w:r>
      <w:r w:rsidRPr="00EE5AF8">
        <w:rPr>
          <w:lang w:val="es-ES"/>
        </w:rPr>
        <w:t xml:space="preserve"> DW, DataWriter.</w:t>
      </w:r>
    </w:p>
  </w:footnote>
  <w:footnote w:id="16">
    <w:p w14:paraId="73299C20" w14:textId="769D3C76" w:rsidR="00B21CDC" w:rsidRPr="00EE5AF8" w:rsidRDefault="00B21CDC">
      <w:pPr>
        <w:pStyle w:val="Textonotapie"/>
        <w:rPr>
          <w:lang w:val="es-ES"/>
        </w:rPr>
      </w:pPr>
      <w:r>
        <w:rPr>
          <w:rStyle w:val="Refdenotaalpie"/>
        </w:rPr>
        <w:footnoteRef/>
      </w:r>
      <w:r w:rsidRPr="00EE5AF8">
        <w:rPr>
          <w:lang w:val="es-ES"/>
        </w:rPr>
        <w:t xml:space="preserve"> DR, DataReader.</w:t>
      </w:r>
    </w:p>
  </w:footnote>
  <w:footnote w:id="17">
    <w:p w14:paraId="1C6D1670" w14:textId="4F14298E" w:rsidR="00B21CDC" w:rsidRPr="00EE5AF8" w:rsidRDefault="00B21CDC">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B21CDC" w:rsidRPr="00EE5AF8" w:rsidRDefault="00B21CDC">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B21CDC" w:rsidRPr="00841FBC" w:rsidRDefault="00B21CDC">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B21CDC" w:rsidRPr="0096137D" w:rsidRDefault="00B21CDC">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B21CDC" w:rsidRPr="00EE65DE" w:rsidRDefault="00B21CDC"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B21CDC" w:rsidRPr="008C5209" w:rsidRDefault="00B21CDC"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B21CDC" w:rsidRPr="00E0795D" w:rsidRDefault="00B21CDC">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B21CDC" w:rsidRPr="00F356C9" w:rsidRDefault="00B21CDC">
      <w:pPr>
        <w:pStyle w:val="Textonotapie"/>
      </w:pPr>
      <w:r>
        <w:rPr>
          <w:rStyle w:val="Refdenotaalpie"/>
        </w:rPr>
        <w:footnoteRef/>
      </w:r>
      <w:r>
        <w:t xml:space="preserve"> IP, Internet Protocol.</w:t>
      </w:r>
    </w:p>
  </w:footnote>
  <w:footnote w:id="25">
    <w:p w14:paraId="0D2E32A4" w14:textId="23F921FD" w:rsidR="00B21CDC" w:rsidRPr="00EB3D30" w:rsidRDefault="00B21CDC"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B21CDC" w:rsidRPr="00E470B8" w:rsidRDefault="00B21CDC">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B21CDC" w:rsidRPr="001159ED" w:rsidRDefault="00B21CDC"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B21CDC" w:rsidRPr="006118D4" w:rsidRDefault="00B21CDC">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B21CDC" w:rsidRPr="00212725" w:rsidRDefault="00B21CDC">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B21CDC" w:rsidRPr="00212725" w:rsidRDefault="00B21CDC">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B21CDC" w:rsidRDefault="00B21CDC">
        <w:pPr>
          <w:pStyle w:val="Encabezado"/>
          <w:jc w:val="right"/>
        </w:pPr>
        <w:r>
          <w:fldChar w:fldCharType="begin"/>
        </w:r>
        <w:r>
          <w:instrText>PAGE   \* MERGEFORMAT</w:instrText>
        </w:r>
        <w:r>
          <w:fldChar w:fldCharType="separate"/>
        </w:r>
        <w:r w:rsidR="00480CE9" w:rsidRPr="00480CE9">
          <w:rPr>
            <w:noProof/>
            <w:lang w:val="es-ES"/>
          </w:rPr>
          <w:t>x</w:t>
        </w:r>
        <w:r>
          <w:fldChar w:fldCharType="end"/>
        </w:r>
      </w:p>
    </w:sdtContent>
  </w:sdt>
  <w:p w14:paraId="057591F1" w14:textId="77777777" w:rsidR="00B21CDC" w:rsidRDefault="00B21C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B21CDC" w:rsidRDefault="00B21CDC">
    <w:pPr>
      <w:pStyle w:val="Encabezado"/>
      <w:jc w:val="right"/>
    </w:pPr>
  </w:p>
  <w:p w14:paraId="14E2B000" w14:textId="77777777" w:rsidR="00B21CDC" w:rsidRDefault="00B21CD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B21CDC" w:rsidRDefault="00B21CDC">
        <w:pPr>
          <w:pStyle w:val="Encabezado"/>
          <w:jc w:val="right"/>
        </w:pPr>
        <w:r>
          <w:fldChar w:fldCharType="begin"/>
        </w:r>
        <w:r>
          <w:instrText>PAGE   \* MERGEFORMAT</w:instrText>
        </w:r>
        <w:r>
          <w:fldChar w:fldCharType="separate"/>
        </w:r>
        <w:r w:rsidR="00FD454E" w:rsidRPr="00FD454E">
          <w:rPr>
            <w:noProof/>
            <w:lang w:val="es-ES"/>
          </w:rPr>
          <w:t>104</w:t>
        </w:r>
        <w:r>
          <w:fldChar w:fldCharType="end"/>
        </w:r>
      </w:p>
    </w:sdtContent>
  </w:sdt>
  <w:p w14:paraId="0BCE22FB" w14:textId="77777777" w:rsidR="00B21CDC" w:rsidRDefault="00B21C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7"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5"/>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2"/>
  </w:num>
  <w:num w:numId="19">
    <w:abstractNumId w:val="17"/>
  </w:num>
  <w:num w:numId="20">
    <w:abstractNumId w:val="16"/>
  </w:num>
  <w:num w:numId="21">
    <w:abstractNumId w:val="53"/>
  </w:num>
  <w:num w:numId="22">
    <w:abstractNumId w:val="54"/>
  </w:num>
  <w:num w:numId="23">
    <w:abstractNumId w:val="22"/>
  </w:num>
  <w:num w:numId="24">
    <w:abstractNumId w:val="43"/>
  </w:num>
  <w:num w:numId="25">
    <w:abstractNumId w:val="28"/>
  </w:num>
  <w:num w:numId="26">
    <w:abstractNumId w:val="49"/>
  </w:num>
  <w:num w:numId="27">
    <w:abstractNumId w:val="50"/>
  </w:num>
  <w:num w:numId="28">
    <w:abstractNumId w:val="57"/>
  </w:num>
  <w:num w:numId="29">
    <w:abstractNumId w:val="25"/>
  </w:num>
  <w:num w:numId="30">
    <w:abstractNumId w:val="31"/>
  </w:num>
  <w:num w:numId="31">
    <w:abstractNumId w:val="29"/>
  </w:num>
  <w:num w:numId="32">
    <w:abstractNumId w:val="42"/>
  </w:num>
  <w:num w:numId="33">
    <w:abstractNumId w:val="37"/>
  </w:num>
  <w:num w:numId="34">
    <w:abstractNumId w:val="38"/>
  </w:num>
  <w:num w:numId="35">
    <w:abstractNumId w:val="23"/>
  </w:num>
  <w:num w:numId="36">
    <w:abstractNumId w:val="18"/>
  </w:num>
  <w:num w:numId="37">
    <w:abstractNumId w:val="30"/>
  </w:num>
  <w:num w:numId="38">
    <w:abstractNumId w:val="45"/>
  </w:num>
  <w:num w:numId="39">
    <w:abstractNumId w:val="33"/>
  </w:num>
  <w:num w:numId="40">
    <w:abstractNumId w:val="27"/>
  </w:num>
  <w:num w:numId="41">
    <w:abstractNumId w:val="44"/>
  </w:num>
  <w:num w:numId="42">
    <w:abstractNumId w:val="24"/>
  </w:num>
  <w:num w:numId="43">
    <w:abstractNumId w:val="34"/>
  </w:num>
  <w:num w:numId="44">
    <w:abstractNumId w:val="48"/>
  </w:num>
  <w:num w:numId="45">
    <w:abstractNumId w:val="51"/>
  </w:num>
  <w:num w:numId="46">
    <w:abstractNumId w:val="21"/>
  </w:num>
  <w:num w:numId="47">
    <w:abstractNumId w:val="46"/>
  </w:num>
  <w:num w:numId="48">
    <w:abstractNumId w:val="19"/>
  </w:num>
  <w:num w:numId="49">
    <w:abstractNumId w:val="36"/>
  </w:num>
  <w:num w:numId="50">
    <w:abstractNumId w:val="26"/>
  </w:num>
  <w:num w:numId="51">
    <w:abstractNumId w:val="56"/>
  </w:num>
  <w:num w:numId="52">
    <w:abstractNumId w:val="47"/>
  </w:num>
  <w:num w:numId="53">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0CE9"/>
    <w:rsid w:val="00483FB8"/>
    <w:rsid w:val="00487622"/>
    <w:rsid w:val="0049088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5C7D"/>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872"/>
    <w:rsid w:val="00A51E72"/>
    <w:rsid w:val="00A51EEB"/>
    <w:rsid w:val="00A5511A"/>
    <w:rsid w:val="00A62545"/>
    <w:rsid w:val="00A63686"/>
    <w:rsid w:val="00A648AE"/>
    <w:rsid w:val="00A65A5F"/>
    <w:rsid w:val="00A74676"/>
    <w:rsid w:val="00A809F8"/>
    <w:rsid w:val="00A82CBC"/>
    <w:rsid w:val="00A8317B"/>
    <w:rsid w:val="00A83786"/>
    <w:rsid w:val="00AA10B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1CDC"/>
    <w:rsid w:val="00B22061"/>
    <w:rsid w:val="00B25A44"/>
    <w:rsid w:val="00B27968"/>
    <w:rsid w:val="00B314C3"/>
    <w:rsid w:val="00B33DD2"/>
    <w:rsid w:val="00B404FC"/>
    <w:rsid w:val="00B41696"/>
    <w:rsid w:val="00B43083"/>
    <w:rsid w:val="00B5658D"/>
    <w:rsid w:val="00B647CF"/>
    <w:rsid w:val="00B65E47"/>
    <w:rsid w:val="00B67A4A"/>
    <w:rsid w:val="00B7071D"/>
    <w:rsid w:val="00B717DA"/>
    <w:rsid w:val="00B76469"/>
    <w:rsid w:val="00B77729"/>
    <w:rsid w:val="00B8738A"/>
    <w:rsid w:val="00B9437D"/>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081"/>
    <w:rsid w:val="00C8082E"/>
    <w:rsid w:val="00C83AE8"/>
    <w:rsid w:val="00C8579B"/>
    <w:rsid w:val="00C85B34"/>
    <w:rsid w:val="00C90E82"/>
    <w:rsid w:val="00CA0C05"/>
    <w:rsid w:val="00CA1317"/>
    <w:rsid w:val="00CA1DBA"/>
    <w:rsid w:val="00CA3AC9"/>
    <w:rsid w:val="00CA70A2"/>
    <w:rsid w:val="00CB27EC"/>
    <w:rsid w:val="00CB4CA1"/>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14CEC"/>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29FE"/>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D454E"/>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449460">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993101">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75978">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81376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CDF0892E-1224-4D89-A877-4D3070C92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1138</TotalTime>
  <Pages>142</Pages>
  <Words>27252</Words>
  <Characters>149887</Characters>
  <Application>Microsoft Office Word</Application>
  <DocSecurity>0</DocSecurity>
  <Lines>1249</Lines>
  <Paragraphs>353</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176786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47</cp:revision>
  <dcterms:created xsi:type="dcterms:W3CDTF">2015-05-22T19:28:00Z</dcterms:created>
  <dcterms:modified xsi:type="dcterms:W3CDTF">2015-06-03T04:28:00Z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